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A8" w:rsidRDefault="006E05A8" w:rsidP="000804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东华大学</w:t>
      </w:r>
      <w:r w:rsidRPr="0039425F">
        <w:rPr>
          <w:rFonts w:ascii="华文中宋" w:eastAsia="华文中宋" w:hAnsi="华文中宋" w:hint="eastAsia"/>
          <w:b/>
          <w:sz w:val="32"/>
          <w:szCs w:val="32"/>
        </w:rPr>
        <w:t>分层分类进阶式</w:t>
      </w:r>
      <w:r>
        <w:rPr>
          <w:rFonts w:ascii="华文中宋" w:eastAsia="华文中宋" w:hAnsi="华文中宋" w:hint="eastAsia"/>
          <w:b/>
          <w:sz w:val="32"/>
          <w:szCs w:val="32"/>
        </w:rPr>
        <w:t>实施青年马克思主义者培养工程</w:t>
      </w:r>
    </w:p>
    <w:p w:rsidR="006E05A8" w:rsidRDefault="006E05A8" w:rsidP="0008045F">
      <w:pPr>
        <w:widowControl/>
        <w:spacing w:line="360" w:lineRule="auto"/>
        <w:ind w:firstLineChars="200" w:firstLine="560"/>
        <w:rPr>
          <w:rFonts w:ascii="仿宋_GB2312" w:eastAsia="仿宋_GB2312" w:hAnsi="宋体" w:cs="宋体"/>
          <w:snapToGrid w:val="0"/>
          <w:kern w:val="0"/>
          <w:sz w:val="28"/>
          <w:szCs w:val="28"/>
        </w:rPr>
      </w:pPr>
    </w:p>
    <w:p w:rsidR="006E05A8" w:rsidRDefault="00EA30E1" w:rsidP="006E05A8">
      <w:pPr>
        <w:widowControl/>
        <w:spacing w:line="360" w:lineRule="auto"/>
        <w:ind w:firstLineChars="200" w:firstLine="560"/>
        <w:rPr>
          <w:rFonts w:ascii="仿宋_GB2312" w:eastAsia="仿宋_GB2312" w:hAnsi="宋体" w:cs="宋体"/>
          <w:snapToGrid w:val="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东华大学依托</w:t>
      </w:r>
      <w:r w:rsidRPr="00306620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团中央学校共青团重点工作创新试点</w:t>
      </w:r>
      <w:r w:rsidR="006E05A8" w:rsidRPr="00E465EF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“青年马克思</w:t>
      </w:r>
      <w:r w:rsidR="006E05A8" w:rsidRPr="00306620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主义者培养工程”深化和创新项目，</w:t>
      </w:r>
      <w:r w:rsidR="006E05A8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积极采取措施，着力推进青年马克思主义者培养工程。</w:t>
      </w:r>
    </w:p>
    <w:p w:rsidR="00413392" w:rsidRDefault="006E05A8" w:rsidP="009E4524">
      <w:pPr>
        <w:widowControl/>
        <w:spacing w:line="360" w:lineRule="auto"/>
        <w:ind w:firstLineChars="200" w:firstLine="560"/>
      </w:pPr>
      <w:r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一是</w:t>
      </w:r>
      <w:r w:rsidR="0008045F" w:rsidRPr="006E05A8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全面覆盖，分层培养</w:t>
      </w:r>
      <w:r w:rsidRPr="006E05A8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。依托东华大学团</w:t>
      </w:r>
      <w:r w:rsidRPr="00E465EF">
        <w:rPr>
          <w:rFonts w:ascii="仿宋_GB2312" w:eastAsia="仿宋_GB2312" w:hint="eastAsia"/>
          <w:sz w:val="28"/>
          <w:szCs w:val="28"/>
        </w:rPr>
        <w:t>校</w:t>
      </w:r>
      <w:r>
        <w:rPr>
          <w:rFonts w:ascii="仿宋_GB2312" w:eastAsia="仿宋_GB2312" w:hint="eastAsia"/>
          <w:sz w:val="28"/>
          <w:szCs w:val="28"/>
        </w:rPr>
        <w:t>，开展常规班、专题班和网上团校多层次培养，覆盖全体青年团员，优化课程设置</w:t>
      </w:r>
      <w:r w:rsidR="00850B54">
        <w:rPr>
          <w:rFonts w:ascii="仿宋_GB2312" w:eastAsia="仿宋_GB2312" w:hint="eastAsia"/>
          <w:sz w:val="28"/>
          <w:szCs w:val="28"/>
        </w:rPr>
        <w:t>。二是</w:t>
      </w:r>
      <w:r w:rsidR="0008045F" w:rsidRPr="00850B54">
        <w:rPr>
          <w:rFonts w:ascii="仿宋_GB2312" w:eastAsia="仿宋_GB2312" w:hint="eastAsia"/>
          <w:sz w:val="28"/>
          <w:szCs w:val="28"/>
        </w:rPr>
        <w:t>选拔育优，进阶成长</w:t>
      </w:r>
      <w:r w:rsidR="00850B54">
        <w:rPr>
          <w:rFonts w:ascii="仿宋_GB2312" w:eastAsia="仿宋_GB2312" w:hint="eastAsia"/>
          <w:sz w:val="28"/>
          <w:szCs w:val="28"/>
        </w:rPr>
        <w:t>。</w:t>
      </w:r>
      <w:r w:rsidR="00850B54" w:rsidRPr="00E465EF">
        <w:rPr>
          <w:rFonts w:ascii="仿宋_GB2312" w:eastAsia="仿宋_GB2312" w:hint="eastAsia"/>
          <w:sz w:val="28"/>
          <w:szCs w:val="28"/>
        </w:rPr>
        <w:t>依托示范性群体“华英苑、研干班”培养实体，</w:t>
      </w:r>
      <w:r w:rsidR="00850B54" w:rsidRPr="00E465EF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实施进阶式团建育人，对接中国100青年英才培养计划、中国大学生骨干培养学校等国家和省市级青年人才培养战略。面向青年教工群体，针对团干部，由经验型教学向科学型转变，经验交流、课程教学、体验学习逐层深入</w:t>
      </w:r>
      <w:r w:rsidR="00850B54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。三是</w:t>
      </w:r>
      <w:r w:rsidR="0008045F" w:rsidRPr="00850B54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理论社团，百花齐放</w:t>
      </w:r>
      <w:r w:rsidR="00850B54" w:rsidRPr="00850B54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。</w:t>
      </w:r>
      <w:r w:rsidR="0008045F" w:rsidRPr="00850B54">
        <w:rPr>
          <w:rFonts w:ascii="仿宋_GB2312" w:eastAsia="仿宋_GB2312" w:hAnsi="宋体" w:cs="宋体"/>
          <w:snapToGrid w:val="0"/>
          <w:kern w:val="0"/>
          <w:sz w:val="28"/>
          <w:szCs w:val="28"/>
        </w:rPr>
        <w:t>实施理论学习型学生社团扶持培育计划，从资金、政策、指导教师等方面重点支持我校理论学习型学生社团发展。</w:t>
      </w:r>
      <w:r w:rsidR="00850B54" w:rsidRPr="00850B54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目前</w:t>
      </w:r>
      <w:r w:rsidR="0008045F" w:rsidRPr="00850B54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已建9个理论学习型学生社团，</w:t>
      </w:r>
      <w:r w:rsidR="00850B54" w:rsidRPr="00850B54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以习近平新时代中国特色社会主义思想研习社、学生青年马克思主义学习研究社等为代表，</w:t>
      </w:r>
      <w:r w:rsidR="00850B54" w:rsidRPr="00850B54">
        <w:rPr>
          <w:rFonts w:ascii="仿宋_GB2312" w:eastAsia="仿宋_GB2312" w:hAnsi="宋体" w:cs="宋体"/>
          <w:snapToGrid w:val="0"/>
          <w:kern w:val="0"/>
          <w:sz w:val="28"/>
          <w:szCs w:val="28"/>
        </w:rPr>
        <w:t>开展</w:t>
      </w:r>
      <w:r w:rsidR="0008045F" w:rsidRPr="00850B54">
        <w:rPr>
          <w:rFonts w:ascii="仿宋_GB2312" w:eastAsia="仿宋_GB2312" w:hAnsi="宋体" w:cs="宋体"/>
          <w:snapToGrid w:val="0"/>
          <w:kern w:val="0"/>
          <w:sz w:val="28"/>
          <w:szCs w:val="28"/>
        </w:rPr>
        <w:t>形式多样的学习实践活动，发挥理论学习骨干引领作用和学生理论社团的带动作用</w:t>
      </w:r>
      <w:r w:rsidR="0008045F" w:rsidRPr="00850B54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，引领百花齐放的理论学习型社团形成合力。四</w:t>
      </w:r>
      <w:r w:rsidR="00850B54" w:rsidRPr="00850B54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是</w:t>
      </w:r>
      <w:r w:rsidR="0008045F" w:rsidRPr="00850B54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大马带小马，构建育人共同体</w:t>
      </w:r>
      <w:r w:rsidR="00850B54" w:rsidRPr="00850B54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。</w:t>
      </w:r>
      <w:r w:rsidR="00850B54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校团委、学生处和马克思主义学院等部门密切联动，构建“大马带小马”的一站式育人机制。</w:t>
      </w:r>
      <w:r w:rsidR="00154A71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各二级学院陆续</w:t>
      </w:r>
      <w:r w:rsidR="00154A71">
        <w:rPr>
          <w:rFonts w:ascii="仿宋_GB2312" w:eastAsia="仿宋_GB2312" w:hAnsi="宋体" w:cs="宋体"/>
          <w:snapToGrid w:val="0"/>
          <w:kern w:val="0"/>
          <w:sz w:val="28"/>
          <w:szCs w:val="28"/>
        </w:rPr>
        <w:t>成立</w:t>
      </w:r>
      <w:r w:rsidR="00154A71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和完善青马</w:t>
      </w:r>
      <w:r w:rsidR="00154A71">
        <w:rPr>
          <w:rFonts w:ascii="仿宋_GB2312" w:eastAsia="仿宋_GB2312" w:hAnsi="宋体" w:cs="宋体"/>
          <w:snapToGrid w:val="0"/>
          <w:kern w:val="0"/>
          <w:sz w:val="28"/>
          <w:szCs w:val="28"/>
        </w:rPr>
        <w:t>工程</w:t>
      </w:r>
      <w:r w:rsidR="00154A71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，</w:t>
      </w:r>
      <w:r w:rsidR="00154A71">
        <w:rPr>
          <w:rFonts w:ascii="仿宋_GB2312" w:eastAsia="仿宋_GB2312" w:hAnsi="宋体" w:cs="宋体"/>
          <w:snapToGrid w:val="0"/>
          <w:kern w:val="0"/>
          <w:sz w:val="28"/>
          <w:szCs w:val="28"/>
        </w:rPr>
        <w:t>形成了校院</w:t>
      </w:r>
      <w:r w:rsidR="00154A71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两级</w:t>
      </w:r>
      <w:r w:rsidR="00154A71">
        <w:rPr>
          <w:rFonts w:ascii="仿宋_GB2312" w:eastAsia="仿宋_GB2312" w:hAnsi="宋体" w:cs="宋体"/>
          <w:snapToGrid w:val="0"/>
          <w:kern w:val="0"/>
          <w:sz w:val="28"/>
          <w:szCs w:val="28"/>
        </w:rPr>
        <w:t>工作体系。</w:t>
      </w:r>
      <w:r w:rsidR="00850B54">
        <w:rPr>
          <w:rFonts w:ascii="仿宋_GB2312" w:eastAsia="仿宋_GB2312" w:hAnsi="宋体" w:cs="宋体"/>
          <w:snapToGrid w:val="0"/>
          <w:kern w:val="0"/>
          <w:sz w:val="28"/>
          <w:szCs w:val="28"/>
        </w:rPr>
        <w:t>聘请</w:t>
      </w:r>
      <w:r w:rsidR="00850B54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优秀青年骨干教师担任校内导师的同时，</w:t>
      </w:r>
      <w:r w:rsidR="00154A71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充分发挥区校联动平台，</w:t>
      </w:r>
      <w:r w:rsidR="00850B54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聘请</w:t>
      </w:r>
      <w:r w:rsidR="00850B54">
        <w:rPr>
          <w:rFonts w:ascii="仿宋_GB2312" w:eastAsia="仿宋_GB2312" w:hAnsi="宋体" w:cs="宋体"/>
          <w:snapToGrid w:val="0"/>
          <w:kern w:val="0"/>
          <w:sz w:val="28"/>
          <w:szCs w:val="28"/>
        </w:rPr>
        <w:t>国家千人计划、上海</w:t>
      </w:r>
      <w:r w:rsidR="00850B54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千</w:t>
      </w:r>
      <w:r w:rsidR="00850B54" w:rsidRPr="00416921">
        <w:rPr>
          <w:rFonts w:ascii="仿宋_GB2312" w:eastAsia="仿宋_GB2312" w:hAnsi="宋体" w:cs="宋体"/>
          <w:snapToGrid w:val="0"/>
          <w:kern w:val="0"/>
          <w:sz w:val="28"/>
          <w:szCs w:val="28"/>
        </w:rPr>
        <w:t>人计划、上海市领军人才</w:t>
      </w:r>
      <w:r w:rsidR="00154A71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等</w:t>
      </w:r>
      <w:r w:rsidR="00193AB1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专家</w:t>
      </w:r>
      <w:r w:rsidR="00154A71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lastRenderedPageBreak/>
        <w:t>成为东华大学“青马工程”校外导师</w:t>
      </w:r>
      <w:r w:rsidR="00850B54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。</w:t>
      </w:r>
      <w:r w:rsidR="00193AB1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进一步</w:t>
      </w:r>
      <w:r w:rsidR="00193AB1" w:rsidRPr="00E465EF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梳理校内外资源</w:t>
      </w:r>
      <w:r w:rsidR="00193AB1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与</w:t>
      </w:r>
      <w:r w:rsidR="00193AB1" w:rsidRPr="00E465EF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全</w:t>
      </w:r>
      <w:r w:rsidR="00193AB1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国青少年井冈山革命传统教育基地、交通银行、新东方等企业资源以及</w:t>
      </w:r>
      <w:r w:rsidR="00193AB1" w:rsidRPr="00E465EF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东方绿洲、上海市领导学会等社会机构合作</w:t>
      </w:r>
      <w:r w:rsidR="00193AB1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，</w:t>
      </w:r>
      <w:r w:rsidR="00193AB1" w:rsidRPr="00E465EF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探索</w:t>
      </w:r>
      <w:r w:rsidR="00193AB1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并完善</w:t>
      </w:r>
      <w:r w:rsidR="00193AB1" w:rsidRPr="00E465EF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协同育人</w:t>
      </w:r>
      <w:r w:rsidR="00193AB1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模式</w:t>
      </w:r>
      <w:r w:rsidR="00193AB1" w:rsidRPr="00E465EF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。</w:t>
      </w:r>
    </w:p>
    <w:sectPr w:rsidR="00413392" w:rsidSect="00D03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1C" w:rsidRDefault="00817C1C" w:rsidP="006E05A8">
      <w:r>
        <w:separator/>
      </w:r>
    </w:p>
  </w:endnote>
  <w:endnote w:type="continuationSeparator" w:id="1">
    <w:p w:rsidR="00817C1C" w:rsidRDefault="00817C1C" w:rsidP="006E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1C" w:rsidRDefault="00817C1C" w:rsidP="006E05A8">
      <w:r>
        <w:separator/>
      </w:r>
    </w:p>
  </w:footnote>
  <w:footnote w:type="continuationSeparator" w:id="1">
    <w:p w:rsidR="00817C1C" w:rsidRDefault="00817C1C" w:rsidP="006E0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45F"/>
    <w:rsid w:val="00066F5F"/>
    <w:rsid w:val="00066F76"/>
    <w:rsid w:val="0008045F"/>
    <w:rsid w:val="001442F6"/>
    <w:rsid w:val="00154A71"/>
    <w:rsid w:val="00193AB1"/>
    <w:rsid w:val="001C0C90"/>
    <w:rsid w:val="001C3251"/>
    <w:rsid w:val="00200A66"/>
    <w:rsid w:val="00205BE0"/>
    <w:rsid w:val="00220AD3"/>
    <w:rsid w:val="00230116"/>
    <w:rsid w:val="00292E2E"/>
    <w:rsid w:val="002D3FFE"/>
    <w:rsid w:val="002E53C8"/>
    <w:rsid w:val="002E6799"/>
    <w:rsid w:val="00365F5F"/>
    <w:rsid w:val="0037546E"/>
    <w:rsid w:val="003B5D5E"/>
    <w:rsid w:val="003F24DD"/>
    <w:rsid w:val="00413392"/>
    <w:rsid w:val="004140E6"/>
    <w:rsid w:val="00486A91"/>
    <w:rsid w:val="00510431"/>
    <w:rsid w:val="00515533"/>
    <w:rsid w:val="005409CC"/>
    <w:rsid w:val="00580A66"/>
    <w:rsid w:val="005B6817"/>
    <w:rsid w:val="005E2CEE"/>
    <w:rsid w:val="005F38C5"/>
    <w:rsid w:val="00664A95"/>
    <w:rsid w:val="006B154D"/>
    <w:rsid w:val="006E05A8"/>
    <w:rsid w:val="006F158C"/>
    <w:rsid w:val="00721991"/>
    <w:rsid w:val="00772B6F"/>
    <w:rsid w:val="00791BC0"/>
    <w:rsid w:val="007E7C6F"/>
    <w:rsid w:val="00817C1C"/>
    <w:rsid w:val="00850B54"/>
    <w:rsid w:val="00894478"/>
    <w:rsid w:val="008E0CD1"/>
    <w:rsid w:val="008F2D89"/>
    <w:rsid w:val="00954270"/>
    <w:rsid w:val="009764E4"/>
    <w:rsid w:val="009813DE"/>
    <w:rsid w:val="009D7E3B"/>
    <w:rsid w:val="009E4524"/>
    <w:rsid w:val="00A13017"/>
    <w:rsid w:val="00A1632A"/>
    <w:rsid w:val="00A31A84"/>
    <w:rsid w:val="00A6308C"/>
    <w:rsid w:val="00A741D1"/>
    <w:rsid w:val="00A932B5"/>
    <w:rsid w:val="00B50391"/>
    <w:rsid w:val="00B64E55"/>
    <w:rsid w:val="00B65C32"/>
    <w:rsid w:val="00B82494"/>
    <w:rsid w:val="00BA40FF"/>
    <w:rsid w:val="00C571FF"/>
    <w:rsid w:val="00C6528B"/>
    <w:rsid w:val="00D027F1"/>
    <w:rsid w:val="00D036E7"/>
    <w:rsid w:val="00D3636D"/>
    <w:rsid w:val="00D757B5"/>
    <w:rsid w:val="00DB5323"/>
    <w:rsid w:val="00E127DD"/>
    <w:rsid w:val="00E63D0B"/>
    <w:rsid w:val="00E75B5C"/>
    <w:rsid w:val="00E84ACE"/>
    <w:rsid w:val="00EA1839"/>
    <w:rsid w:val="00EA30E1"/>
    <w:rsid w:val="00EA728D"/>
    <w:rsid w:val="00EB1657"/>
    <w:rsid w:val="00EE0695"/>
    <w:rsid w:val="00EE4928"/>
    <w:rsid w:val="00F40CD8"/>
    <w:rsid w:val="00F47148"/>
    <w:rsid w:val="00F5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5F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08045F"/>
    <w:pPr>
      <w:keepNext/>
      <w:keepLines/>
      <w:spacing w:before="260" w:after="260" w:line="416" w:lineRule="auto"/>
      <w:outlineLvl w:val="1"/>
    </w:pPr>
    <w:rPr>
      <w:rFonts w:ascii="Cambria" w:eastAsia="宋体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8045F"/>
    <w:rPr>
      <w:rFonts w:ascii="Cambria" w:eastAsia="宋体" w:hAnsi="Cambria" w:cs="黑体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6E0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5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5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5F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08045F"/>
    <w:pPr>
      <w:keepNext/>
      <w:keepLines/>
      <w:spacing w:before="260" w:after="260" w:line="416" w:lineRule="auto"/>
      <w:outlineLvl w:val="1"/>
    </w:pPr>
    <w:rPr>
      <w:rFonts w:ascii="Cambria" w:eastAsia="宋体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8045F"/>
    <w:rPr>
      <w:rFonts w:ascii="Cambria" w:eastAsia="宋体" w:hAnsi="Cambria" w:cs="黑体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345</Words>
  <Characters>353</Characters>
  <Application>Microsoft Office Word</Application>
  <DocSecurity>0</DocSecurity>
  <Lines>16</Lines>
  <Paragraphs>5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黄璐</dc:creator>
  <cp:lastModifiedBy>戴叶萍</cp:lastModifiedBy>
  <cp:revision>12</cp:revision>
  <dcterms:created xsi:type="dcterms:W3CDTF">2018-05-29T08:16:00Z</dcterms:created>
  <dcterms:modified xsi:type="dcterms:W3CDTF">2018-06-13T06:00:00Z</dcterms:modified>
</cp:coreProperties>
</file>